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44" w:rsidRPr="00F66086" w:rsidRDefault="00FC05E3" w:rsidP="002E6BED">
      <w:pPr>
        <w:pStyle w:val="tytu1NieuzywaneTytuy"/>
        <w:rPr>
          <w:rStyle w:val="Bold"/>
          <w:rFonts w:asciiTheme="minorHAnsi" w:hAnsiTheme="minorHAnsi"/>
          <w:b/>
          <w:bCs/>
          <w:spacing w:val="-10"/>
        </w:rPr>
      </w:pPr>
      <w:r w:rsidRPr="00F66086">
        <w:rPr>
          <w:rStyle w:val="Bold"/>
          <w:rFonts w:asciiTheme="minorHAnsi" w:hAnsiTheme="minorHAnsi"/>
          <w:b/>
          <w:bCs/>
          <w:spacing w:val="-10"/>
        </w:rPr>
        <w:t xml:space="preserve">Przedmiotowe zasady oceniania – wymagania na poszczególne oceny </w:t>
      </w:r>
      <w:r w:rsidR="00EA39C6" w:rsidRPr="00F66086">
        <w:rPr>
          <w:rStyle w:val="Bold"/>
          <w:rFonts w:asciiTheme="minorHAnsi" w:hAnsiTheme="minorHAnsi"/>
          <w:b/>
          <w:bCs/>
          <w:spacing w:val="-10"/>
        </w:rPr>
        <w:t>s</w:t>
      </w:r>
      <w:r w:rsidRPr="00F66086">
        <w:rPr>
          <w:rStyle w:val="Bold"/>
          <w:rFonts w:asciiTheme="minorHAnsi" w:hAnsiTheme="minorHAnsi"/>
          <w:b/>
          <w:bCs/>
          <w:spacing w:val="-10"/>
        </w:rPr>
        <w:t>zkolne</w:t>
      </w:r>
    </w:p>
    <w:p w:rsidR="00943F44" w:rsidRPr="00F66086" w:rsidRDefault="005C2D94" w:rsidP="002E6BED">
      <w:pPr>
        <w:pStyle w:val="tytu1NieuzywaneTytuy"/>
        <w:spacing w:after="227"/>
        <w:rPr>
          <w:rStyle w:val="Bold"/>
          <w:rFonts w:asciiTheme="minorHAnsi" w:hAnsiTheme="minorHAnsi"/>
          <w:b/>
          <w:bCs/>
          <w:color w:val="154194"/>
        </w:rPr>
      </w:pPr>
      <w:r w:rsidRPr="00F66086">
        <w:rPr>
          <w:rStyle w:val="Bold"/>
          <w:rFonts w:asciiTheme="minorHAnsi" w:hAnsiTheme="minorHAnsi"/>
          <w:b/>
          <w:bCs/>
          <w:color w:val="154194"/>
        </w:rPr>
        <w:t xml:space="preserve">Klasa </w:t>
      </w:r>
      <w:r w:rsidR="005864C5" w:rsidRPr="00F66086">
        <w:rPr>
          <w:rStyle w:val="Bold"/>
          <w:rFonts w:asciiTheme="minorHAnsi" w:hAnsiTheme="minorHAnsi"/>
          <w:b/>
          <w:bCs/>
          <w:color w:val="154194"/>
        </w:rPr>
        <w:t>6</w:t>
      </w:r>
    </w:p>
    <w:tbl>
      <w:tblPr>
        <w:tblW w:w="1403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2462"/>
        <w:gridCol w:w="2463"/>
        <w:gridCol w:w="17"/>
        <w:gridCol w:w="2445"/>
        <w:gridCol w:w="2463"/>
        <w:gridCol w:w="2463"/>
      </w:tblGrid>
      <w:tr w:rsidR="00943F44" w:rsidRPr="00F66086" w:rsidTr="00342774">
        <w:trPr>
          <w:trHeight w:val="60"/>
          <w:tblHeader/>
        </w:trPr>
        <w:tc>
          <w:tcPr>
            <w:tcW w:w="1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Nr i temat lekcji</w:t>
            </w:r>
          </w:p>
        </w:tc>
        <w:tc>
          <w:tcPr>
            <w:tcW w:w="494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Wymagania podstawowe</w:t>
            </w:r>
          </w:p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Uczeń:</w:t>
            </w:r>
          </w:p>
        </w:tc>
        <w:tc>
          <w:tcPr>
            <w:tcW w:w="73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Wymagania ponadpodstawowe</w:t>
            </w:r>
          </w:p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Uczeń:</w:t>
            </w:r>
          </w:p>
        </w:tc>
      </w:tr>
      <w:tr w:rsidR="00943F44" w:rsidRPr="00F66086" w:rsidTr="00342774">
        <w:trPr>
          <w:trHeight w:val="60"/>
          <w:tblHeader/>
        </w:trPr>
        <w:tc>
          <w:tcPr>
            <w:tcW w:w="1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43F44" w:rsidRPr="00F66086" w:rsidRDefault="00943F44" w:rsidP="002E6BED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dopuszczająca</w:t>
            </w:r>
          </w:p>
        </w:tc>
        <w:tc>
          <w:tcPr>
            <w:tcW w:w="2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dostateczna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bardzo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celująca</w:t>
            </w:r>
          </w:p>
        </w:tc>
      </w:tr>
      <w:tr w:rsidR="00943F44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F44" w:rsidRPr="00F66086" w:rsidRDefault="00342774" w:rsidP="002E6BED">
            <w:pPr>
              <w:pStyle w:val="tabela-belkatabele"/>
              <w:ind w:left="172" w:hanging="172"/>
              <w:rPr>
                <w:rFonts w:asciiTheme="minorHAnsi" w:hAnsiTheme="minorHAnsi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 1.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TKANKI ZWIERZĘCE. PARZYDEŁKOWCE, PŁAZIŃCE I NICIENIE</w:t>
            </w:r>
          </w:p>
        </w:tc>
      </w:tr>
      <w:tr w:rsidR="00342774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1. Ogólna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zwierząt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zwierząt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żyjących w różnych środowiskach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charakterystyczne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zwierząt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główne grupy bezkręgowców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> 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kręgowców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najważniejsze cechy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bezkręgowców i kręgowców</w:t>
            </w:r>
          </w:p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tryb życia wybranych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przedstawicieli zwierząt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symetrii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ciała z trybem życia zwierząt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E1698C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2. Tkanki</w:t>
            </w:r>
            <w:r w:rsidR="005864C5"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–</w:t>
            </w:r>
            <w:r w:rsidR="00222C0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5864C5"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nabłonkowa i łączna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co to jest tkanka</w:t>
            </w:r>
          </w:p>
          <w:p w:rsidR="00222C0F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tkanki zwierzęce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funkcje tkanki nabłonkowej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łącznej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budowę tkanki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nabłonkowej i łącznej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dokonuje obserwacji mikroskopowej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tkanki nabłonkowej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lub łącznej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w budowie tkanki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nabłonkowej i tkanek łącznych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adaptacyjne do pełnienia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określonych funkcji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tkankę nabłonkową,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chrzęstną, kostną i krew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tkankę nabłonkową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łączną pod względem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budowy, funkcji i położenia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 </w:t>
            </w:r>
            <w:r w:rsidR="00E1698C">
              <w:rPr>
                <w:rFonts w:cs="AgendaPl-RegularCondensed"/>
                <w:color w:val="000000"/>
                <w:sz w:val="20"/>
                <w:szCs w:val="20"/>
              </w:rPr>
              <w:t>organizmie człowieka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E1698C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 xml:space="preserve">3. Tkanki </w:t>
            </w:r>
            <w:r w:rsidR="005864C5"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–</w:t>
            </w:r>
            <w:r w:rsidR="00222C0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5864C5"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mięśniowa i nerwowa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rodzaje tkanki mięśniowej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podaje ich funkcje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tkanki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nerwowej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budowę neuronu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dokonuje obserwacji mikroskopowej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tkanki mięśniowej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lub nerwowej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tkanki mięśniowej z funkcją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cechy adaptacyjne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tkanki nerwowej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pełnionych funkcji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tkanki mięśniowe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tkankę nerwową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tkankę mięśniową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nerwową pod względem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budowy, funkcji i położenia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="00E1698C">
              <w:rPr>
                <w:rFonts w:cs="AgendaPl-RegularCondensed"/>
                <w:color w:val="000000"/>
                <w:sz w:val="20"/>
                <w:szCs w:val="20"/>
              </w:rPr>
              <w:t>w organizmie człowieka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5. Charakterystyka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płazińców. Płazińce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pasożytnicze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płazińców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 do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płazińców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zarażenia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tasiemcem uzbrojonym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nieuzbrojonym oraz zasady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profilaktyki</w:t>
            </w:r>
          </w:p>
          <w:p w:rsidR="005864C5" w:rsidRPr="00E1698C" w:rsidRDefault="005864C5" w:rsidP="00E1698C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przystosowania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tasiemca uzbrojonego i nieuzbrojonego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pasożytniczego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trybu życia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płazińców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charakterystycznych</w:t>
            </w:r>
          </w:p>
          <w:p w:rsidR="005864C5" w:rsidRPr="00F66086" w:rsidRDefault="00342774" w:rsidP="00342774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tej grupy 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prawidłowo stosuje określenia: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żywiciel ostateczny, żywiciel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pośredni, larwa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budowę, środowisko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tryb życia płazińców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parzydełkowców</w:t>
            </w:r>
          </w:p>
        </w:tc>
      </w:tr>
      <w:tr w:rsidR="005864C5" w:rsidRPr="00F66086" w:rsidTr="00EA39C6">
        <w:trPr>
          <w:trHeight w:val="25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6.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n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icieni. Nicienie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pasożytnicze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nicieni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nicieni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zarażenia się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="006B2C42">
              <w:rPr>
                <w:rFonts w:cs="AgendaPl-RegularCondensed"/>
                <w:color w:val="000000"/>
                <w:sz w:val="20"/>
                <w:szCs w:val="20"/>
              </w:rPr>
              <w:t xml:space="preserve">owsikiem 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zasady profilaktyki</w:t>
            </w:r>
          </w:p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nicieni na podstawie charakterystycznych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tej grupy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miejsce bytowania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="006B2C42">
              <w:rPr>
                <w:rFonts w:cs="AgendaPl-RegularCondensed"/>
                <w:color w:val="000000"/>
                <w:sz w:val="20"/>
                <w:szCs w:val="20"/>
              </w:rPr>
              <w:t>nicieni pasożytniczych (owsik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) w organizmie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budowę, środowisko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nicieni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płazińców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7.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 lekcji 1–6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2.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PIERŚCIENICE, STAWONOGI, MIĘCZAKI</w:t>
            </w:r>
          </w:p>
        </w:tc>
      </w:tr>
      <w:tr w:rsidR="005864C5" w:rsidRPr="00F66086" w:rsidTr="005864C5">
        <w:trPr>
          <w:trHeight w:val="165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8. Charakterystyka</w:t>
            </w:r>
          </w:p>
          <w:p w:rsidR="005864C5" w:rsidRPr="00F66086" w:rsidRDefault="007A1656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</w:t>
            </w:r>
            <w:r w:rsidR="005864C5"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ierścienic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, (skąposzczetów i pijawek)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0DD7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pierścienic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="007A1656">
              <w:rPr>
                <w:rFonts w:cs="AgendaPl-RegularCondensed"/>
                <w:color w:val="000000"/>
                <w:sz w:val="20"/>
                <w:szCs w:val="20"/>
              </w:rPr>
              <w:t>przedstawia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znaczenie pierścienic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pierścienic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różnice w budowie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="007A1656">
              <w:rPr>
                <w:rFonts w:cs="AgendaPl-RegularCondensed"/>
                <w:color w:val="000000"/>
                <w:sz w:val="20"/>
                <w:szCs w:val="20"/>
              </w:rPr>
              <w:t>zewnętrznej dżdżownicy i pijawki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typie pierścienice mimo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podobieństw w budowie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pierścienic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związek między zaobserwowanymi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różnicami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pierścienic a środowiskiem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trybem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planuje doświadczenie, w którym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można udowodnić wpływ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dżdżownic na mieszanie gleby</w:t>
            </w:r>
          </w:p>
        </w:tc>
      </w:tr>
      <w:tr w:rsidR="005864C5" w:rsidRPr="00F66086" w:rsidTr="005864C5">
        <w:trPr>
          <w:trHeight w:val="1755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9.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stawonogów.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Skorupiaki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stawonogów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skorupiaków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stawonogów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skorupiakom opanowanie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środowiska wodnego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skorupiaków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stawonoga na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podstawie 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skorupiaków: poruszanie się,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skorupiaków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związek między zaobserwowanymi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różnicami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skorupiaków ze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środowiskiem i trybem życia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10. Owady –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organizmy typowo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lądowe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owadów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owadów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="00B30818">
              <w:rPr>
                <w:rFonts w:cs="AgendaPl-RegularCondensed"/>
                <w:color w:val="000000"/>
                <w:sz w:val="20"/>
                <w:szCs w:val="20"/>
              </w:rPr>
              <w:t>(owady pożyteczne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owadom opanowanie środowiska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lądowego oraz aktywny lot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aparatów gębowych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odnóży owadów w odniesieniu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trybu życia i rodzaju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pobieranego pokarmu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owadów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 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owadów: poruszanie się,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dwa typy rozwoju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złożonego – z przeobrażeniem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zupełnym i niezupełnym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owadów i skorupiaków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11.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pajęczaków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środowisko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pajęczaków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pajęczaków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wspólne cechy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pajęczaków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pajęczaków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zdolność większości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pajęczaków do wysnuwania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 i określa zastosowania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tych nici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770DD7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pajęczaków z uwzględnieniem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odżywiania się, oddychania,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rozmnażania się.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pajęczaków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czynności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życiowe pajęczaków, owadów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skorupiaków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12. Mięczaki.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ślimaków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różnorodność środowisk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zamieszkiwanych przez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mięczaki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tryb życia 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ślimaków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mięczaków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mięczakom opanowanie środowiska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wodnego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ślimaków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 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ślimaków: poruszanie się,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ślimaków,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uwzględnia kształt nogi oraz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obecność muszli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13. Małże i głowonogi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– charakterystyka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środowisko i tryb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małży i głowonogów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="00D52A3A">
              <w:rPr>
                <w:rFonts w:cs="AgendaPl-RegularCondensed"/>
                <w:color w:val="000000"/>
                <w:sz w:val="20"/>
                <w:szCs w:val="20"/>
              </w:rPr>
              <w:t>przedstawia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znaczenie małży i głowonogów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małży i głowonogów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umożliwiające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małżom i głowonogom przystosowanie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życia w środowisku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w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odnym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głowonogów, uwzględnia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liczbę ramion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małży lub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głowonogów na podstawie zaobserwowanych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małży i głowonogów: poruszanie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się, odżywianie się, oddychanie,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małży, głowonogów oraz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ułatwiające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głowonogom aktywne polowanie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14.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E274A0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8</w:t>
            </w:r>
            <w:r w:rsidR="005864C5"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–13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b w:val="0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lastRenderedPageBreak/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3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RYBY, PŁAZY, GADY</w:t>
            </w:r>
          </w:p>
        </w:tc>
      </w:tr>
      <w:tr w:rsidR="005864C5" w:rsidRPr="00F66086" w:rsidTr="00EA39C6">
        <w:trPr>
          <w:trHeight w:val="1462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15. Ryby – środowisko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gromady zwierząt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zaliczanych do kręgowców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środowisko życia ryb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charakterystyczne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kręgowców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ryb kostnoszkieletowych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chrzęstnoszkieletowych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wskazuje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różnicę w ich budowie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wyjaśnia, co to jest zmiennocieplność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określa ryby jako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zwierzęta zmiennocieplne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 przynależność ryb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kręgowców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do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wodzie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funkcjonowanie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pęcherza pławnego i skrzeli</w:t>
            </w:r>
          </w:p>
        </w:tc>
      </w:tr>
      <w:tr w:rsidR="005864C5" w:rsidRPr="00F66086" w:rsidTr="00EA39C6">
        <w:trPr>
          <w:trHeight w:val="132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16.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ryb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rozwój ryb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="00E02B65">
              <w:rPr>
                <w:rFonts w:cs="AgendaPl-RegularCondensed"/>
                <w:color w:val="000000"/>
                <w:sz w:val="20"/>
                <w:szCs w:val="20"/>
              </w:rPr>
              <w:t>przedstawia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znaczenie ryb w przyrodzie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chronionych w Polsce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pozytywnie i negatywnie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ryb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ryb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związanej z trybem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różnice między jajorodnością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a jajożyworodnością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na wybranych przykładach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i jedność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w obrębie gromady</w:t>
            </w:r>
          </w:p>
        </w:tc>
      </w:tr>
      <w:tr w:rsidR="005864C5" w:rsidRPr="00F66086" w:rsidTr="00EA39C6">
        <w:trPr>
          <w:trHeight w:val="33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17. Płazy </w:t>
            </w:r>
            <w:r w:rsidR="00F111E9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(bezogonowe i </w:t>
            </w:r>
            <w:r w:rsidR="00F111E9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 xml:space="preserve">ogoniaste)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– środowisko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środowiska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płazy jako zwierzęta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zmiennocieplne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płazów ogoniastych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bezogonowych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i czynności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życiowych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 środowiskiem wodno</w:t>
            </w:r>
            <w:r w:rsidRPr="00F66086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‑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lądowym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wpływ zmiennocieplności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na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zasięg występowania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</w:tc>
      </w:tr>
      <w:tr w:rsidR="005864C5" w:rsidRPr="00F66086" w:rsidTr="00EA39C6">
        <w:trPr>
          <w:trHeight w:val="247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18.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płazów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płazów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="00F111E9">
              <w:rPr>
                <w:rFonts w:cs="AgendaPl-RegularCondensed"/>
                <w:color w:val="000000"/>
                <w:sz w:val="20"/>
                <w:szCs w:val="20"/>
              </w:rPr>
              <w:t>przedstawia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znaczenie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 chronionych w Polsce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etapy rozwoju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przykładzie żaby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pozytywnie i negatywnie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na wybranych przykładach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 względem budowy zewnętrznej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kijanki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postaci dorosłej żaby</w:t>
            </w:r>
          </w:p>
        </w:tc>
      </w:tr>
      <w:tr w:rsidR="005864C5" w:rsidRPr="00F66086" w:rsidTr="00EA39C6">
        <w:trPr>
          <w:trHeight w:val="92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19. Gady – środowisko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środowiska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gady jako zwierzęta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zmiennocieplne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gadów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przykładzie jaszczurki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do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lądzie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wpływ zmiennocieplności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zasięg występowania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narządy zmysłów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gadów i określa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ich znaczenie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życiu na lądzie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życiem na lądzie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20.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gadów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E12CCD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rozwoju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="00D74BC1">
              <w:rPr>
                <w:rFonts w:cs="AgendaPl-RegularCondensed"/>
                <w:color w:val="000000"/>
                <w:sz w:val="20"/>
                <w:szCs w:val="20"/>
              </w:rPr>
              <w:t>przedstawia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znaczenie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gady jako owodniowce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znaczenie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chronionych w Polsce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pozytywnie i negatywnie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gadów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funkcje poszczególnych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błon płodowych w rozwoju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i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uzasadnia, że wytworzenie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błon płodowych uniezależnia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rozwój gadów od środowiska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wodnego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21.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15–20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4.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PTAKI I SSAKI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22. Budowa ptaków.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Przystosowania do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lotu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życia ptaków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ptaków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przedstawicieli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wśród innych zwierząt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na podstawie obecności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charakterystycznych cech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tej grupy zwierząt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i rolę pióra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konturowego</w:t>
            </w:r>
          </w:p>
          <w:p w:rsidR="005864C5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co to jest stałocieplność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przystosowania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lotu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pióro konturowe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puchowym pod względem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i funkcji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przestawia charakterystyczne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ptaków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stałocieplności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opanowaniu przez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różnych rejonów kuli ziemskiej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ptaka z przystosowaniem do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lotu</w:t>
            </w:r>
          </w:p>
        </w:tc>
      </w:tr>
      <w:tr w:rsidR="005864C5" w:rsidRPr="00F66086" w:rsidTr="00F64DFC">
        <w:trPr>
          <w:trHeight w:val="158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23. Rozmnażanie się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rozwój ptaków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typ zapłodnienia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formę rozrodu ptaków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odróżnia gniazdowniki od</w:t>
            </w:r>
          </w:p>
          <w:p w:rsidR="005864C5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zagniazdowników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na czym polega jajorodność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elementy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jaja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podaje przykłady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zachowań</w:t>
            </w:r>
            <w:proofErr w:type="spellEnd"/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w okresie godowym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elementów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jaja w rozwoju zarodka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uzasadnia, dlaczego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zaliczmy do owodniowców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błon płodowych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rozwoju ptaków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24. Różnorodność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ptaków i ich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znaczenie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="00613C90">
              <w:rPr>
                <w:rFonts w:cs="AgendaPl-RegularCondensed"/>
                <w:color w:val="000000"/>
                <w:sz w:val="20"/>
                <w:szCs w:val="20"/>
              </w:rPr>
              <w:t>przedstawia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znaczenie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środowisku i dla człowieka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najbliższej okolicy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różnorodność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 względem rozmiarów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upierzenia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przykłady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chronionych w Polsce oraz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 potrzebę ich ochrony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żyjące w Polsce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ptaków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między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budową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dzioba</w:t>
            </w:r>
            <w:proofErr w:type="spellEnd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a rodzajem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pobieranego pokarmu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przyporządkowuje ptaki do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grzebieniowych,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bezgrzebieniowych</w:t>
            </w:r>
            <w:proofErr w:type="spellEnd"/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pingwinów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zewnętrznej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różnych środowisk i trybu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 przez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siebie 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jedność ptaków w obrębie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gromady</w:t>
            </w:r>
          </w:p>
        </w:tc>
      </w:tr>
      <w:tr w:rsidR="005864C5" w:rsidRPr="00F66086" w:rsidTr="00F64DFC">
        <w:trPr>
          <w:trHeight w:val="116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25. Ssaki</w:t>
            </w:r>
            <w:r w:rsidR="00895F49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(łożyskowe)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– ogólna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życia ssaków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w budowie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umożliwiające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zakwalifikowanie organizmu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ssaków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przedstawicieli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wśród innych grup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na podstawie obecności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charakterystycznych cech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wyróżnia różne rodzaje zębów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i określa ich rolę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skóry i jej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wytworów w życiu ssaka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charakterystyczne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ssaków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znaczenie stałocieplności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opanowaniu przez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ssaki różnych rejonów kuli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ziemskiej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 ssaka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do środowiska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lądowego</w:t>
            </w:r>
          </w:p>
        </w:tc>
      </w:tr>
      <w:tr w:rsidR="005864C5" w:rsidRPr="00F66086" w:rsidTr="00F64DFC">
        <w:trPr>
          <w:trHeight w:val="30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26. Rozmnażanie się</w:t>
            </w:r>
            <w:r w:rsidR="00F64DF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rozwój ssaków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wyjaśnia, co to znaczy, że ssaki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są żyworodne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ssaków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łożyskowych, torbaczy i stekowców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odróżnia ssaki łożyskowe od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stekowców i torbaczy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przestawia sposób rozmnażania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rozwój ssaków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łożyskowych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łożyska w rozwoju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zarodkowym ssaków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rozwój zarodkowy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łożyskowych, stekowców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torbaczy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27. Różnorodność</w:t>
            </w:r>
          </w:p>
          <w:p w:rsidR="005864C5" w:rsidRPr="00F66086" w:rsidRDefault="005864C5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ssaków i ich</w:t>
            </w:r>
            <w:r w:rsidR="00F64DF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znaczenie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ssaków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środowisku oraz dla człowieka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ssaki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najbliższej okolicy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przykłady gatunków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chronionych w Polsce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uzasadnia potrzebę ich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ssaki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żyjące w Polsce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przykłady działań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 na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ssaków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uzębienia ssaków ze sposobem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odżywiania się i trybem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jedność ssaków w obrębie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gromady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28. Posumowanie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22–27</w:t>
            </w:r>
          </w:p>
        </w:tc>
      </w:tr>
    </w:tbl>
    <w:p w:rsidR="00FC05E3" w:rsidRPr="00F66086" w:rsidRDefault="00FC05E3" w:rsidP="002E6BED">
      <w:pPr>
        <w:pStyle w:val="001TekstpodstawowyNieuzywanefiz"/>
        <w:jc w:val="left"/>
        <w:rPr>
          <w:rFonts w:asciiTheme="minorHAnsi" w:hAnsiTheme="minorHAnsi"/>
        </w:rPr>
      </w:pPr>
    </w:p>
    <w:sectPr w:rsidR="00FC05E3" w:rsidRPr="00F66086" w:rsidSect="00EA39C6">
      <w:headerReference w:type="default" r:id="rId8"/>
      <w:footerReference w:type="default" r:id="rId9"/>
      <w:pgSz w:w="16838" w:h="11906" w:orient="landscape"/>
      <w:pgMar w:top="1560" w:right="820" w:bottom="2269" w:left="1134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13F" w:rsidRDefault="008F513F" w:rsidP="00EA39C6">
      <w:pPr>
        <w:spacing w:after="0" w:line="240" w:lineRule="auto"/>
      </w:pPr>
      <w:r>
        <w:separator/>
      </w:r>
    </w:p>
  </w:endnote>
  <w:endnote w:type="continuationSeparator" w:id="0">
    <w:p w:rsidR="008F513F" w:rsidRDefault="008F513F" w:rsidP="00E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CCD" w:rsidRDefault="00E12CCD" w:rsidP="00EA39C6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924CAA" wp14:editId="3993F478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2A6F87"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" strokecolor="#f09120" strokeweight="1.5pt">
              <v:stroke joinstyle="miter"/>
            </v:line>
          </w:pict>
        </mc:Fallback>
      </mc:AlternateConten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565D2F">
      <w:t>Jastrzębska Ewa, Kłos Ewa, Kofta Wawrzyniec</w:t>
    </w:r>
    <w:r>
      <w:t>,</w:t>
    </w:r>
    <w:r w:rsidRPr="00565D2F">
      <w:t xml:space="preserve"> </w:t>
    </w:r>
    <w:proofErr w:type="spellStart"/>
    <w:r w:rsidRPr="00565D2F">
      <w:t>Pyłka</w:t>
    </w:r>
    <w:proofErr w:type="spellEnd"/>
    <w:r w:rsidRPr="00565D2F">
      <w:t>-Gutowska Ewa</w:t>
    </w:r>
  </w:p>
  <w:p w:rsidR="00E12CCD" w:rsidRDefault="00E12CCD" w:rsidP="00EA39C6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1669D8" wp14:editId="02E783E6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2F862D" id="Łącznik prostoliniowy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" strokecolor="black [3213]" strokeweight=".5pt">
              <v:stroke joinstyle="miter"/>
            </v:line>
          </w:pict>
        </mc:Fallback>
      </mc:AlternateContent>
    </w:r>
  </w:p>
  <w:p w:rsidR="00E12CCD" w:rsidRDefault="00E12CCD" w:rsidP="00EA39C6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6BBCEC6" wp14:editId="6DF82898">
              <wp:simplePos x="0" y="0"/>
              <wp:positionH relativeFrom="page">
                <wp:posOffset>7105650</wp:posOffset>
              </wp:positionH>
              <wp:positionV relativeFrom="page">
                <wp:posOffset>6743700</wp:posOffset>
              </wp:positionV>
              <wp:extent cx="2962275" cy="241300"/>
              <wp:effectExtent l="0" t="0" r="9525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2CCD" w:rsidRDefault="00E12CC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11" w:lineRule="exact"/>
                            <w:ind w:left="20" w:right="-47"/>
                            <w:rPr>
                              <w:rFonts w:ascii="AgendaPl Regular" w:hAnsi="AgendaPl Regular" w:cs="AgendaPl Regular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8"/>
                              <w:szCs w:val="18"/>
                            </w:rPr>
                            <w:t>©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yright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wni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olne i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ed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ogi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zne,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6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BCEC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59.5pt;margin-top:531pt;width:233.25pt;height:1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udtAIAAK4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" o:allowincell="f" filled="f" stroked="f">
              <v:textbox inset="0,0,0,0">
                <w:txbxContent>
                  <w:p w:rsidR="00E12CCD" w:rsidRDefault="00E12CCD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11" w:lineRule="exact"/>
                      <w:ind w:left="20" w:right="-47"/>
                      <w:rPr>
                        <w:rFonts w:ascii="AgendaPl Regular" w:hAnsi="AgendaPl Regular" w:cs="AgendaPl Regular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8"/>
                        <w:szCs w:val="18"/>
                      </w:rPr>
                      <w:t>©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yright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wni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olne i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ed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ogi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zne,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6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43A358F" wp14:editId="2825A483">
          <wp:extent cx="1556085" cy="296779"/>
          <wp:effectExtent l="0" t="0" r="0" b="825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</w:rPr>
      <w:t xml:space="preserve">           </w:t>
    </w:r>
  </w:p>
  <w:p w:rsidR="00E12CCD" w:rsidRDefault="00E12CCD" w:rsidP="00EA39C6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7B3587">
      <w:rPr>
        <w:noProof/>
      </w:rPr>
      <w:t>11</w:t>
    </w:r>
    <w:r>
      <w:fldChar w:fldCharType="end"/>
    </w:r>
  </w:p>
  <w:p w:rsidR="00E12CCD" w:rsidRPr="00285D6F" w:rsidRDefault="00E12CCD" w:rsidP="00EA39C6">
    <w:pPr>
      <w:pStyle w:val="Stopka"/>
      <w:tabs>
        <w:tab w:val="clear" w:pos="4536"/>
        <w:tab w:val="clear" w:pos="9072"/>
      </w:tabs>
      <w:ind w:left="-1417"/>
    </w:pPr>
  </w:p>
  <w:p w:rsidR="00E12CCD" w:rsidRDefault="00E12CCD" w:rsidP="00EA39C6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13F" w:rsidRDefault="008F513F" w:rsidP="00EA39C6">
      <w:pPr>
        <w:spacing w:after="0" w:line="240" w:lineRule="auto"/>
      </w:pPr>
      <w:r>
        <w:separator/>
      </w:r>
    </w:p>
  </w:footnote>
  <w:footnote w:type="continuationSeparator" w:id="0">
    <w:p w:rsidR="008F513F" w:rsidRDefault="008F513F" w:rsidP="00E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CCD" w:rsidRDefault="00E12CCD" w:rsidP="00EA39C6">
    <w:pPr>
      <w:pStyle w:val="Nagwek"/>
      <w:tabs>
        <w:tab w:val="clear" w:pos="9072"/>
      </w:tabs>
      <w:ind w:left="142" w:right="-283" w:firstLine="1298"/>
      <w:rPr>
        <w:b/>
        <w:color w:val="F09120"/>
      </w:rPr>
    </w:pPr>
    <w:r w:rsidRPr="00EA39C6">
      <w:rPr>
        <w:noProof/>
      </w:rPr>
      <w:drawing>
        <wp:anchor distT="0" distB="0" distL="114300" distR="114300" simplePos="0" relativeHeight="251660288" behindDoc="1" locked="0" layoutInCell="1" allowOverlap="1" wp14:anchorId="76E9B6C6" wp14:editId="7F15B406">
          <wp:simplePos x="0" y="0"/>
          <wp:positionH relativeFrom="column">
            <wp:posOffset>5447030</wp:posOffset>
          </wp:positionH>
          <wp:positionV relativeFrom="paragraph">
            <wp:posOffset>-339725</wp:posOffset>
          </wp:positionV>
          <wp:extent cx="3991610" cy="954405"/>
          <wp:effectExtent l="0" t="0" r="889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9C6">
      <w:rPr>
        <w:noProof/>
      </w:rPr>
      <w:drawing>
        <wp:anchor distT="0" distB="0" distL="114300" distR="114300" simplePos="0" relativeHeight="251659264" behindDoc="1" locked="0" layoutInCell="1" allowOverlap="1" wp14:anchorId="7EA8522C" wp14:editId="1A6555E7">
          <wp:simplePos x="0" y="0"/>
          <wp:positionH relativeFrom="column">
            <wp:posOffset>-848360</wp:posOffset>
          </wp:positionH>
          <wp:positionV relativeFrom="paragraph">
            <wp:posOffset>-339725</wp:posOffset>
          </wp:positionV>
          <wp:extent cx="7591425" cy="954405"/>
          <wp:effectExtent l="0" t="0" r="952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2CCD" w:rsidRDefault="00E12CCD" w:rsidP="00EA39C6">
    <w:pPr>
      <w:pStyle w:val="Nagwek"/>
      <w:tabs>
        <w:tab w:val="clear" w:pos="9072"/>
      </w:tabs>
      <w:ind w:right="-283"/>
    </w:pPr>
    <w:r>
      <w:rPr>
        <w:b/>
        <w:color w:val="F09120"/>
      </w:rPr>
      <w:t xml:space="preserve"> Biologia</w:t>
    </w:r>
    <w:r w:rsidRPr="00435B7E">
      <w:rPr>
        <w:color w:val="F09120"/>
      </w:rPr>
      <w:t xml:space="preserve"> </w:t>
    </w:r>
    <w:r>
      <w:t xml:space="preserve">| Klasa 6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ab/>
    </w:r>
    <w:r>
      <w:rPr>
        <w:i/>
      </w:rPr>
      <w:t>Szkoła podstawowa</w:t>
    </w:r>
  </w:p>
  <w:p w:rsidR="00E12CCD" w:rsidRDefault="00E12C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17"/>
    <w:rsid w:val="00045F72"/>
    <w:rsid w:val="00222C0F"/>
    <w:rsid w:val="002C52D0"/>
    <w:rsid w:val="002E120F"/>
    <w:rsid w:val="002E6BED"/>
    <w:rsid w:val="00342774"/>
    <w:rsid w:val="00381A0C"/>
    <w:rsid w:val="005864C5"/>
    <w:rsid w:val="005C2D94"/>
    <w:rsid w:val="00613C90"/>
    <w:rsid w:val="00617A17"/>
    <w:rsid w:val="0063690C"/>
    <w:rsid w:val="006B2C42"/>
    <w:rsid w:val="00770DD7"/>
    <w:rsid w:val="007A1656"/>
    <w:rsid w:val="007B3587"/>
    <w:rsid w:val="00895F49"/>
    <w:rsid w:val="008F513F"/>
    <w:rsid w:val="00943F44"/>
    <w:rsid w:val="00A227F2"/>
    <w:rsid w:val="00AD60DC"/>
    <w:rsid w:val="00B30818"/>
    <w:rsid w:val="00BC14E3"/>
    <w:rsid w:val="00D52A3A"/>
    <w:rsid w:val="00D74BC1"/>
    <w:rsid w:val="00E02B65"/>
    <w:rsid w:val="00E12CCD"/>
    <w:rsid w:val="00E1698C"/>
    <w:rsid w:val="00E274A0"/>
    <w:rsid w:val="00E93787"/>
    <w:rsid w:val="00EA39C6"/>
    <w:rsid w:val="00F111E9"/>
    <w:rsid w:val="00F572FF"/>
    <w:rsid w:val="00F64DFC"/>
    <w:rsid w:val="00F66086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5ABC692-C5FB-48E7-AB47-3ED26D31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Pr>
      <w:b/>
      <w:bCs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boldasia">
    <w:name w:val="bold (asia)"/>
    <w:uiPriority w:val="99"/>
    <w:rPr>
      <w:b/>
      <w:bCs/>
    </w:rPr>
  </w:style>
  <w:style w:type="character" w:customStyle="1" w:styleId="Indeksdolny">
    <w:name w:val="Indeks dolny"/>
    <w:uiPriority w:val="99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Pr>
      <w:u w:val="none"/>
    </w:rPr>
  </w:style>
  <w:style w:type="character" w:customStyle="1" w:styleId="kropaniebieska">
    <w:name w:val="kropa niebieska"/>
    <w:uiPriority w:val="99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9D1A-5EEE-4D19-B62D-0966D512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2047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Uszyński</dc:creator>
  <cp:keywords/>
  <dc:description/>
  <cp:lastModifiedBy>afory</cp:lastModifiedBy>
  <cp:revision>13</cp:revision>
  <dcterms:created xsi:type="dcterms:W3CDTF">2021-09-15T16:05:00Z</dcterms:created>
  <dcterms:modified xsi:type="dcterms:W3CDTF">2024-09-15T17:52:00Z</dcterms:modified>
</cp:coreProperties>
</file>